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29" w:rsidRDefault="006C0329" w:rsidP="006C0329">
      <w:pPr>
        <w:spacing w:line="360" w:lineRule="auto"/>
        <w:jc w:val="center"/>
        <w:rPr>
          <w:rFonts w:ascii="Times New Roman" w:hAnsi="Times New Roman" w:cs="Times New Roman"/>
          <w:u w:val="single"/>
        </w:rPr>
      </w:pPr>
      <w:r>
        <w:rPr>
          <w:rFonts w:ascii="Times New Roman" w:hAnsi="Times New Roman" w:cs="Times New Roman"/>
          <w:u w:val="single"/>
        </w:rPr>
        <w:t>Divers types de jugements</w:t>
      </w:r>
    </w:p>
    <w:p w:rsidR="006C0329" w:rsidRDefault="006C0329" w:rsidP="006C0329">
      <w:pPr>
        <w:spacing w:line="360" w:lineRule="auto"/>
        <w:rPr>
          <w:rFonts w:ascii="Times New Roman" w:hAnsi="Times New Roman" w:cs="Times New Roman"/>
        </w:rPr>
      </w:pPr>
      <w:r>
        <w:rPr>
          <w:rFonts w:ascii="Times New Roman" w:hAnsi="Times New Roman" w:cs="Times New Roman"/>
        </w:rPr>
        <w:t xml:space="preserve">Référence : </w:t>
      </w:r>
      <w:proofErr w:type="spellStart"/>
      <w:r>
        <w:rPr>
          <w:rFonts w:ascii="Times New Roman" w:hAnsi="Times New Roman" w:cs="Times New Roman"/>
        </w:rPr>
        <w:t>Berthiaume</w:t>
      </w:r>
      <w:proofErr w:type="spellEnd"/>
      <w:r>
        <w:rPr>
          <w:rFonts w:ascii="Times New Roman" w:hAnsi="Times New Roman" w:cs="Times New Roman"/>
        </w:rPr>
        <w:t xml:space="preserve">, D. (2004). </w:t>
      </w:r>
      <w:r>
        <w:rPr>
          <w:rFonts w:ascii="Times New Roman" w:hAnsi="Times New Roman" w:cs="Times New Roman"/>
          <w:i/>
        </w:rPr>
        <w:t>L’observation de l’enfant en milieu éducatif</w:t>
      </w:r>
      <w:r>
        <w:rPr>
          <w:rFonts w:ascii="Times New Roman" w:hAnsi="Times New Roman" w:cs="Times New Roman"/>
        </w:rPr>
        <w:t>, Montréal : Gaëtan Morin éditeur.</w:t>
      </w:r>
    </w:p>
    <w:p w:rsidR="006C0329" w:rsidRDefault="006C0329" w:rsidP="006C0329">
      <w:pPr>
        <w:spacing w:line="360" w:lineRule="auto"/>
        <w:rPr>
          <w:rFonts w:ascii="Times New Roman" w:hAnsi="Times New Roman" w:cs="Times New Roman"/>
        </w:rPr>
      </w:pPr>
      <w:r>
        <w:rPr>
          <w:rFonts w:ascii="Times New Roman" w:hAnsi="Times New Roman" w:cs="Times New Roman"/>
        </w:rPr>
        <w:t xml:space="preserve">Les jugements sont typiquement présents chez l’observateur ou l’observatrice qui devrait les reconnaitre pour pouvoir s’en servir efficacement et de façon éthique. </w:t>
      </w:r>
    </w:p>
    <w:p w:rsidR="006C0329" w:rsidRDefault="006C0329" w:rsidP="006C0329">
      <w:pPr>
        <w:spacing w:line="360" w:lineRule="auto"/>
        <w:rPr>
          <w:rFonts w:ascii="Times New Roman" w:hAnsi="Times New Roman" w:cs="Times New Roman"/>
        </w:rPr>
      </w:pPr>
      <w:r>
        <w:rPr>
          <w:rFonts w:ascii="Times New Roman" w:hAnsi="Times New Roman" w:cs="Times New Roman"/>
        </w:rPr>
        <w:t>« Un jugement est un acte de pensée par lequel on asserte quelque chose, c’est-à-dire par lequel on affirme ou on nie quelque chose. C’est aussi un énoncé ou une partie d’énoncé, écrit ou oral, qui exprime le résultat d’un tel acte de pensée » (Blackburn, 1996, p.90).</w:t>
      </w:r>
    </w:p>
    <w:p w:rsidR="006C0329" w:rsidRDefault="006C0329" w:rsidP="006C0329">
      <w:pPr>
        <w:spacing w:line="360" w:lineRule="auto"/>
        <w:rPr>
          <w:rFonts w:ascii="Times New Roman" w:hAnsi="Times New Roman" w:cs="Times New Roman"/>
        </w:rPr>
      </w:pPr>
      <w:r>
        <w:rPr>
          <w:rFonts w:ascii="Times New Roman" w:hAnsi="Times New Roman" w:cs="Times New Roman"/>
        </w:rPr>
        <w:t xml:space="preserve">Blackburn identifie trois types de jugements dont les jugements de faits, les jugements de valeur et les jugements de recommandation. </w:t>
      </w:r>
      <w:proofErr w:type="spellStart"/>
      <w:r>
        <w:rPr>
          <w:rFonts w:ascii="Times New Roman" w:hAnsi="Times New Roman" w:cs="Times New Roman"/>
        </w:rPr>
        <w:t>Leleux</w:t>
      </w:r>
      <w:proofErr w:type="spellEnd"/>
      <w:r>
        <w:rPr>
          <w:rFonts w:ascii="Times New Roman" w:hAnsi="Times New Roman" w:cs="Times New Roman"/>
        </w:rPr>
        <w:t xml:space="preserve"> ajoute les jugements déterminants ou les inférences. </w:t>
      </w:r>
    </w:p>
    <w:tbl>
      <w:tblPr>
        <w:tblStyle w:val="Grilledutableau"/>
        <w:tblW w:w="0" w:type="auto"/>
        <w:tblInd w:w="0" w:type="dxa"/>
        <w:tblLook w:val="04A0"/>
      </w:tblPr>
      <w:tblGrid>
        <w:gridCol w:w="4381"/>
        <w:gridCol w:w="4475"/>
      </w:tblGrid>
      <w:tr w:rsidR="006C0329" w:rsidTr="006C0329">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0329" w:rsidRDefault="006C0329">
            <w:pPr>
              <w:pStyle w:val="Titre1"/>
              <w:spacing w:line="360" w:lineRule="auto"/>
            </w:pPr>
            <w:r>
              <w:t xml:space="preserve">Types de </w:t>
            </w:r>
            <w:proofErr w:type="spellStart"/>
            <w:r>
              <w:t>jugements</w:t>
            </w:r>
            <w:proofErr w:type="spellEnd"/>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pStyle w:val="Titre1"/>
              <w:spacing w:line="360" w:lineRule="auto"/>
            </w:pPr>
            <w:proofErr w:type="spellStart"/>
            <w:r>
              <w:t>Étapes</w:t>
            </w:r>
            <w:proofErr w:type="spellEnd"/>
            <w:r>
              <w:t xml:space="preserve"> </w:t>
            </w:r>
            <w:proofErr w:type="spellStart"/>
            <w:r>
              <w:t>correspondantes</w:t>
            </w:r>
            <w:proofErr w:type="spellEnd"/>
          </w:p>
          <w:p w:rsidR="006C0329" w:rsidRDefault="006C0329">
            <w:pPr>
              <w:spacing w:line="360" w:lineRule="auto"/>
            </w:pPr>
          </w:p>
        </w:tc>
      </w:tr>
      <w:tr w:rsidR="006C0329" w:rsidTr="006C0329">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proofErr w:type="spellStart"/>
            <w:r>
              <w:rPr>
                <w:rFonts w:ascii="Times New Roman" w:hAnsi="Times New Roman" w:cs="Times New Roman"/>
              </w:rPr>
              <w:t>Jugements</w:t>
            </w:r>
            <w:proofErr w:type="spellEnd"/>
            <w:r>
              <w:rPr>
                <w:rFonts w:ascii="Times New Roman" w:hAnsi="Times New Roman" w:cs="Times New Roman"/>
              </w:rPr>
              <w:t xml:space="preserve"> de fait (</w:t>
            </w:r>
            <w:proofErr w:type="spellStart"/>
            <w:r>
              <w:rPr>
                <w:rFonts w:ascii="Times New Roman" w:hAnsi="Times New Roman" w:cs="Times New Roman"/>
              </w:rPr>
              <w:t>énoncés</w:t>
            </w:r>
            <w:proofErr w:type="spellEnd"/>
            <w:r>
              <w:rPr>
                <w:rFonts w:ascii="Times New Roman" w:hAnsi="Times New Roman" w:cs="Times New Roman"/>
              </w:rPr>
              <w:t xml:space="preserve"> de fait)</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proofErr w:type="spellStart"/>
            <w:r>
              <w:rPr>
                <w:rFonts w:ascii="Times New Roman" w:hAnsi="Times New Roman" w:cs="Times New Roman"/>
              </w:rPr>
              <w:t>Collecte</w:t>
            </w:r>
            <w:proofErr w:type="spellEnd"/>
            <w:r>
              <w:rPr>
                <w:rFonts w:ascii="Times New Roman" w:hAnsi="Times New Roman" w:cs="Times New Roman"/>
              </w:rPr>
              <w:t xml:space="preserve"> de </w:t>
            </w:r>
            <w:proofErr w:type="spellStart"/>
            <w:r>
              <w:rPr>
                <w:rFonts w:ascii="Times New Roman" w:hAnsi="Times New Roman" w:cs="Times New Roman"/>
              </w:rPr>
              <w:t>données</w:t>
            </w:r>
            <w:proofErr w:type="spellEnd"/>
            <w:r>
              <w:rPr>
                <w:rFonts w:ascii="Times New Roman" w:hAnsi="Times New Roman" w:cs="Times New Roman"/>
              </w:rPr>
              <w:t xml:space="preserve"> </w:t>
            </w:r>
          </w:p>
          <w:p w:rsidR="006C0329" w:rsidRDefault="006C0329">
            <w:pPr>
              <w:spacing w:line="360" w:lineRule="auto"/>
              <w:rPr>
                <w:rFonts w:ascii="Times New Roman" w:hAnsi="Times New Roman" w:cs="Times New Roman"/>
              </w:rPr>
            </w:pPr>
          </w:p>
        </w:tc>
      </w:tr>
      <w:tr w:rsidR="006C0329" w:rsidTr="006C0329">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proofErr w:type="spellStart"/>
            <w:r>
              <w:rPr>
                <w:rFonts w:ascii="Times New Roman" w:hAnsi="Times New Roman" w:cs="Times New Roman"/>
              </w:rPr>
              <w:t>Inférences</w:t>
            </w:r>
            <w:proofErr w:type="spellEnd"/>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r>
              <w:rPr>
                <w:rFonts w:ascii="Times New Roman" w:hAnsi="Times New Roman" w:cs="Times New Roman"/>
              </w:rPr>
              <w:t xml:space="preserve">Analyse des </w:t>
            </w:r>
            <w:proofErr w:type="spellStart"/>
            <w:r>
              <w:rPr>
                <w:rFonts w:ascii="Times New Roman" w:hAnsi="Times New Roman" w:cs="Times New Roman"/>
              </w:rPr>
              <w:t>données</w:t>
            </w:r>
            <w:proofErr w:type="spellEnd"/>
          </w:p>
          <w:p w:rsidR="006C0329" w:rsidRDefault="006C0329">
            <w:pPr>
              <w:spacing w:line="360" w:lineRule="auto"/>
              <w:rPr>
                <w:rFonts w:ascii="Times New Roman" w:hAnsi="Times New Roman" w:cs="Times New Roman"/>
              </w:rPr>
            </w:pPr>
            <w:proofErr w:type="spellStart"/>
            <w:r>
              <w:rPr>
                <w:rFonts w:ascii="Times New Roman" w:hAnsi="Times New Roman" w:cs="Times New Roman"/>
              </w:rPr>
              <w:t>Interprétation</w:t>
            </w:r>
            <w:proofErr w:type="spellEnd"/>
            <w:r>
              <w:rPr>
                <w:rFonts w:ascii="Times New Roman" w:hAnsi="Times New Roman" w:cs="Times New Roman"/>
              </w:rPr>
              <w:t xml:space="preserve"> des </w:t>
            </w:r>
            <w:proofErr w:type="spellStart"/>
            <w:r>
              <w:rPr>
                <w:rFonts w:ascii="Times New Roman" w:hAnsi="Times New Roman" w:cs="Times New Roman"/>
              </w:rPr>
              <w:t>résultats</w:t>
            </w:r>
            <w:proofErr w:type="spellEnd"/>
          </w:p>
          <w:p w:rsidR="006C0329" w:rsidRDefault="006C0329">
            <w:pPr>
              <w:spacing w:line="360" w:lineRule="auto"/>
              <w:rPr>
                <w:rFonts w:ascii="Times New Roman" w:hAnsi="Times New Roman" w:cs="Times New Roman"/>
              </w:rPr>
            </w:pPr>
          </w:p>
        </w:tc>
      </w:tr>
      <w:tr w:rsidR="006C0329" w:rsidTr="006C0329">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proofErr w:type="spellStart"/>
            <w:r>
              <w:rPr>
                <w:rFonts w:ascii="Times New Roman" w:hAnsi="Times New Roman" w:cs="Times New Roman"/>
              </w:rPr>
              <w:t>Jugements</w:t>
            </w:r>
            <w:proofErr w:type="spellEnd"/>
            <w:r>
              <w:rPr>
                <w:rFonts w:ascii="Times New Roman" w:hAnsi="Times New Roman" w:cs="Times New Roman"/>
              </w:rPr>
              <w:t xml:space="preserve"> de </w:t>
            </w:r>
            <w:proofErr w:type="spellStart"/>
            <w:r>
              <w:rPr>
                <w:rFonts w:ascii="Times New Roman" w:hAnsi="Times New Roman" w:cs="Times New Roman"/>
              </w:rPr>
              <w:t>valeur</w:t>
            </w:r>
            <w:proofErr w:type="spellEnd"/>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proofErr w:type="spellStart"/>
            <w:r>
              <w:rPr>
                <w:rFonts w:ascii="Times New Roman" w:hAnsi="Times New Roman" w:cs="Times New Roman"/>
              </w:rPr>
              <w:t>Interprétation</w:t>
            </w:r>
            <w:proofErr w:type="spellEnd"/>
            <w:r>
              <w:rPr>
                <w:rFonts w:ascii="Times New Roman" w:hAnsi="Times New Roman" w:cs="Times New Roman"/>
              </w:rPr>
              <w:t xml:space="preserve"> des </w:t>
            </w:r>
            <w:proofErr w:type="spellStart"/>
            <w:r>
              <w:rPr>
                <w:rFonts w:ascii="Times New Roman" w:hAnsi="Times New Roman" w:cs="Times New Roman"/>
              </w:rPr>
              <w:t>résultats</w:t>
            </w:r>
            <w:proofErr w:type="spellEnd"/>
          </w:p>
          <w:p w:rsidR="006C0329" w:rsidRDefault="006C0329">
            <w:pPr>
              <w:spacing w:line="360" w:lineRule="auto"/>
              <w:rPr>
                <w:rFonts w:ascii="Times New Roman" w:hAnsi="Times New Roman" w:cs="Times New Roman"/>
              </w:rPr>
            </w:pPr>
            <w:proofErr w:type="spellStart"/>
            <w:r>
              <w:rPr>
                <w:rFonts w:ascii="Times New Roman" w:hAnsi="Times New Roman" w:cs="Times New Roman"/>
              </w:rPr>
              <w:t>Évaluation</w:t>
            </w:r>
            <w:proofErr w:type="spellEnd"/>
            <w:r>
              <w:rPr>
                <w:rFonts w:ascii="Times New Roman" w:hAnsi="Times New Roman" w:cs="Times New Roman"/>
              </w:rPr>
              <w:t xml:space="preserve"> de la </w:t>
            </w:r>
            <w:proofErr w:type="spellStart"/>
            <w:r>
              <w:rPr>
                <w:rFonts w:ascii="Times New Roman" w:hAnsi="Times New Roman" w:cs="Times New Roman"/>
              </w:rPr>
              <w:t>démarche</w:t>
            </w:r>
            <w:proofErr w:type="spellEnd"/>
            <w:r>
              <w:rPr>
                <w:rFonts w:ascii="Times New Roman" w:hAnsi="Times New Roman" w:cs="Times New Roman"/>
              </w:rPr>
              <w:t xml:space="preserve"> </w:t>
            </w:r>
            <w:proofErr w:type="spellStart"/>
            <w:r>
              <w:rPr>
                <w:rFonts w:ascii="Times New Roman" w:hAnsi="Times New Roman" w:cs="Times New Roman"/>
              </w:rPr>
              <w:t>d’observation</w:t>
            </w:r>
            <w:proofErr w:type="spellEnd"/>
          </w:p>
          <w:p w:rsidR="006C0329" w:rsidRDefault="006C0329">
            <w:pPr>
              <w:spacing w:line="360" w:lineRule="auto"/>
              <w:rPr>
                <w:rFonts w:ascii="Times New Roman" w:hAnsi="Times New Roman" w:cs="Times New Roman"/>
              </w:rPr>
            </w:pPr>
          </w:p>
        </w:tc>
      </w:tr>
      <w:tr w:rsidR="006C0329" w:rsidTr="006C0329">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proofErr w:type="spellStart"/>
            <w:r>
              <w:rPr>
                <w:rFonts w:ascii="Times New Roman" w:hAnsi="Times New Roman" w:cs="Times New Roman"/>
              </w:rPr>
              <w:t>Jugements</w:t>
            </w:r>
            <w:proofErr w:type="spellEnd"/>
            <w:r>
              <w:rPr>
                <w:rFonts w:ascii="Times New Roman" w:hAnsi="Times New Roman" w:cs="Times New Roman"/>
              </w:rPr>
              <w:t xml:space="preserve"> de </w:t>
            </w:r>
            <w:proofErr w:type="spellStart"/>
            <w:r>
              <w:rPr>
                <w:rFonts w:ascii="Times New Roman" w:hAnsi="Times New Roman" w:cs="Times New Roman"/>
              </w:rPr>
              <w:t>recommandation</w:t>
            </w:r>
            <w:proofErr w:type="spellEnd"/>
          </w:p>
          <w:p w:rsidR="006C0329" w:rsidRDefault="006C0329">
            <w:pPr>
              <w:spacing w:line="360" w:lineRule="auto"/>
              <w:rPr>
                <w:rFonts w:ascii="Times New Roman" w:hAnsi="Times New Roman" w:cs="Times New Roman"/>
              </w:rPr>
            </w:pP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0329" w:rsidRDefault="006C0329">
            <w:pPr>
              <w:spacing w:line="360" w:lineRule="auto"/>
              <w:rPr>
                <w:rFonts w:ascii="Times New Roman" w:hAnsi="Times New Roman" w:cs="Times New Roman"/>
              </w:rPr>
            </w:pPr>
          </w:p>
          <w:p w:rsidR="006C0329" w:rsidRDefault="006C0329">
            <w:pPr>
              <w:spacing w:line="360" w:lineRule="auto"/>
              <w:rPr>
                <w:rFonts w:ascii="Times New Roman" w:hAnsi="Times New Roman" w:cs="Times New Roman"/>
              </w:rPr>
            </w:pPr>
            <w:r>
              <w:rPr>
                <w:rFonts w:ascii="Times New Roman" w:hAnsi="Times New Roman" w:cs="Times New Roman"/>
              </w:rPr>
              <w:t xml:space="preserve">Intervention </w:t>
            </w:r>
            <w:proofErr w:type="spellStart"/>
            <w:r>
              <w:rPr>
                <w:rFonts w:ascii="Times New Roman" w:hAnsi="Times New Roman" w:cs="Times New Roman"/>
              </w:rPr>
              <w:t>auprès</w:t>
            </w:r>
            <w:proofErr w:type="spellEnd"/>
            <w:r>
              <w:rPr>
                <w:rFonts w:ascii="Times New Roman" w:hAnsi="Times New Roman" w:cs="Times New Roman"/>
              </w:rPr>
              <w:t xml:space="preserve"> de </w:t>
            </w:r>
            <w:proofErr w:type="spellStart"/>
            <w:r>
              <w:rPr>
                <w:rFonts w:ascii="Times New Roman" w:hAnsi="Times New Roman" w:cs="Times New Roman"/>
              </w:rPr>
              <w:t>l’enfant</w:t>
            </w:r>
            <w:proofErr w:type="spellEnd"/>
            <w:r>
              <w:rPr>
                <w:rFonts w:ascii="Times New Roman" w:hAnsi="Times New Roman" w:cs="Times New Roman"/>
              </w:rPr>
              <w:t xml:space="preserve">, du </w:t>
            </w:r>
            <w:proofErr w:type="spellStart"/>
            <w:r>
              <w:rPr>
                <w:rFonts w:ascii="Times New Roman" w:hAnsi="Times New Roman" w:cs="Times New Roman"/>
              </w:rPr>
              <w:t>groupe</w:t>
            </w:r>
            <w:proofErr w:type="spellEnd"/>
            <w:r>
              <w:rPr>
                <w:rFonts w:ascii="Times New Roman" w:hAnsi="Times New Roman" w:cs="Times New Roman"/>
              </w:rPr>
              <w:t xml:space="preserve">, des parents </w:t>
            </w:r>
            <w:proofErr w:type="spellStart"/>
            <w:r>
              <w:rPr>
                <w:rFonts w:ascii="Times New Roman" w:hAnsi="Times New Roman" w:cs="Times New Roman"/>
              </w:rPr>
              <w:t>ou</w:t>
            </w:r>
            <w:proofErr w:type="spellEnd"/>
            <w:r>
              <w:rPr>
                <w:rFonts w:ascii="Times New Roman" w:hAnsi="Times New Roman" w:cs="Times New Roman"/>
              </w:rPr>
              <w:t xml:space="preserve"> </w:t>
            </w:r>
            <w:proofErr w:type="spellStart"/>
            <w:r>
              <w:rPr>
                <w:rFonts w:ascii="Times New Roman" w:hAnsi="Times New Roman" w:cs="Times New Roman"/>
              </w:rPr>
              <w:t>d’autres</w:t>
            </w:r>
            <w:proofErr w:type="spellEnd"/>
            <w:r>
              <w:rPr>
                <w:rFonts w:ascii="Times New Roman" w:hAnsi="Times New Roman" w:cs="Times New Roman"/>
              </w:rPr>
              <w:t xml:space="preserve"> </w:t>
            </w:r>
            <w:proofErr w:type="spellStart"/>
            <w:r>
              <w:rPr>
                <w:rFonts w:ascii="Times New Roman" w:hAnsi="Times New Roman" w:cs="Times New Roman"/>
              </w:rPr>
              <w:t>intervenants</w:t>
            </w:r>
            <w:proofErr w:type="spellEnd"/>
          </w:p>
          <w:p w:rsidR="006C0329" w:rsidRDefault="006C0329">
            <w:pPr>
              <w:spacing w:line="360" w:lineRule="auto"/>
              <w:rPr>
                <w:rFonts w:ascii="Times New Roman" w:hAnsi="Times New Roman" w:cs="Times New Roman"/>
              </w:rPr>
            </w:pPr>
          </w:p>
        </w:tc>
      </w:tr>
    </w:tbl>
    <w:p w:rsidR="006C0329" w:rsidRDefault="006C0329" w:rsidP="006C0329">
      <w:pPr>
        <w:spacing w:line="360" w:lineRule="auto"/>
        <w:rPr>
          <w:rFonts w:ascii="Times New Roman" w:hAnsi="Times New Roman" w:cs="Times New Roman"/>
        </w:rPr>
      </w:pPr>
      <w:proofErr w:type="spellStart"/>
      <w:r>
        <w:rPr>
          <w:rFonts w:ascii="Times New Roman" w:hAnsi="Times New Roman" w:cs="Times New Roman"/>
        </w:rPr>
        <w:t>Berthiaume</w:t>
      </w:r>
      <w:proofErr w:type="spellEnd"/>
      <w:r>
        <w:rPr>
          <w:rFonts w:ascii="Times New Roman" w:hAnsi="Times New Roman" w:cs="Times New Roman"/>
        </w:rPr>
        <w:t>, 2004, p. 78</w:t>
      </w:r>
    </w:p>
    <w:p w:rsidR="006C0329" w:rsidRDefault="006C0329" w:rsidP="006C0329">
      <w:pPr>
        <w:spacing w:line="360" w:lineRule="auto"/>
        <w:rPr>
          <w:rFonts w:ascii="Times New Roman" w:hAnsi="Times New Roman" w:cs="Times New Roman"/>
        </w:rPr>
      </w:pPr>
      <w:r>
        <w:rPr>
          <w:rFonts w:ascii="Times New Roman" w:hAnsi="Times New Roman" w:cs="Times New Roman"/>
        </w:rPr>
        <w:lastRenderedPageBreak/>
        <w:t>Les jugements de fait sont décrits comme étant le plus rapproché possible de la réalité, malgré notre subjectivité. Les jugements de fait avec observation sont particulièrement informateurs toutefois il se peut que nous ayons recours aux jugements de fait sans observation, par exemple, nous savons qu’un élève de notre classe a l’asthme même si nous n’avons pas témoigné directement de crise asthmatique.</w:t>
      </w:r>
    </w:p>
    <w:p w:rsidR="006C0329" w:rsidRDefault="006C0329" w:rsidP="006C0329">
      <w:pPr>
        <w:spacing w:line="360" w:lineRule="auto"/>
        <w:rPr>
          <w:rFonts w:ascii="Times New Roman" w:hAnsi="Times New Roman" w:cs="Times New Roman"/>
        </w:rPr>
      </w:pPr>
      <w:r>
        <w:rPr>
          <w:rFonts w:ascii="Times New Roman" w:hAnsi="Times New Roman" w:cs="Times New Roman"/>
        </w:rPr>
        <w:t xml:space="preserve">Les jugements de valeur sont regroupés dans trois catégories : épistémique, esthétique et morale. </w:t>
      </w:r>
    </w:p>
    <w:p w:rsidR="006C0329" w:rsidRDefault="006C0329" w:rsidP="006C0329">
      <w:pPr>
        <w:spacing w:line="360" w:lineRule="auto"/>
        <w:rPr>
          <w:rFonts w:ascii="Times New Roman" w:hAnsi="Times New Roman" w:cs="Times New Roman"/>
        </w:rPr>
      </w:pPr>
      <w:r>
        <w:rPr>
          <w:rFonts w:ascii="Times New Roman" w:hAnsi="Times New Roman" w:cs="Times New Roman"/>
        </w:rPr>
        <w:t>Celui de la catégorie épistémique porte sur le bien-fondé des théories ou des hypothèses de l’observatrice ou l’observateur, par exemple de penser que l’on devrait exploiter plusieurs approches variées en tenant compte des intelligences multiples de notre groupe titulaire. On pourrait donc croire à l’importance de la participation active de nos élèves lors des cours de sciences naturelles.</w:t>
      </w:r>
    </w:p>
    <w:p w:rsidR="006C0329" w:rsidRDefault="006C0329" w:rsidP="006C0329">
      <w:pPr>
        <w:spacing w:line="360" w:lineRule="auto"/>
        <w:rPr>
          <w:rFonts w:ascii="Times New Roman" w:hAnsi="Times New Roman" w:cs="Times New Roman"/>
        </w:rPr>
      </w:pPr>
      <w:r>
        <w:rPr>
          <w:rFonts w:ascii="Times New Roman" w:hAnsi="Times New Roman" w:cs="Times New Roman"/>
        </w:rPr>
        <w:t>Un jugement de valeur esthétique peut refléter le goût personnel de l’observateur ou l’observatrice, tel qu’en réagissant à une peinture réalisée par un élève qui nous semble  mal agencée.</w:t>
      </w:r>
    </w:p>
    <w:p w:rsidR="006C0329" w:rsidRDefault="006C0329" w:rsidP="006C0329">
      <w:pPr>
        <w:spacing w:line="360" w:lineRule="auto"/>
        <w:rPr>
          <w:rFonts w:ascii="Times New Roman" w:hAnsi="Times New Roman" w:cs="Times New Roman"/>
        </w:rPr>
      </w:pPr>
      <w:r>
        <w:rPr>
          <w:rFonts w:ascii="Times New Roman" w:hAnsi="Times New Roman" w:cs="Times New Roman"/>
        </w:rPr>
        <w:t>Pour sa part, le jugement moral se rapporte à l’opinion par rapport à des valeurs exprimées par l’observateur ou l’observatrice. Ceci est évident lorsque nous évaluons un travail incomplet en déplorant un manque d’effort ou d’organisation chez l’élève.</w:t>
      </w:r>
    </w:p>
    <w:p w:rsidR="006C0329" w:rsidRDefault="006C0329" w:rsidP="006C0329">
      <w:pPr>
        <w:spacing w:line="360" w:lineRule="auto"/>
        <w:rPr>
          <w:rFonts w:ascii="Times New Roman" w:hAnsi="Times New Roman" w:cs="Times New Roman"/>
        </w:rPr>
      </w:pPr>
      <w:r>
        <w:rPr>
          <w:rFonts w:ascii="Times New Roman" w:hAnsi="Times New Roman" w:cs="Times New Roman"/>
        </w:rPr>
        <w:t>Les jugements de recommandation sont empreints de conseils de la part de l’observateur ou de l’observatrice. L’enseignante qui remarque l’élève qui plisse ses yeux et se rapproche du livre pour lire pourrait recommander à ses parents de faire vérifier sa vue.</w:t>
      </w:r>
    </w:p>
    <w:p w:rsidR="006C0329" w:rsidRDefault="006C0329" w:rsidP="006C0329">
      <w:pPr>
        <w:spacing w:line="360" w:lineRule="auto"/>
        <w:rPr>
          <w:rFonts w:ascii="Times New Roman" w:hAnsi="Times New Roman" w:cs="Times New Roman"/>
        </w:rPr>
      </w:pPr>
      <w:r>
        <w:rPr>
          <w:rFonts w:ascii="Times New Roman" w:hAnsi="Times New Roman" w:cs="Times New Roman"/>
        </w:rPr>
        <w:t xml:space="preserve">L’inférence est « un mode de raisonnement qui consiste à tirer une conséquence ou une conclusion logique d’un ensemble de données » (Legendre, 1993, p.714). Celle-ci peut être comparée à une prévision logique fondée sur des preuves plausibles. Par exemple, nous pouvons inférer qu’un élève ayant été absent le jour précédent pourrait encore s’absenter lorsque nous remarquons qu’il n’est pas présent le matin en notant les présences. Toutefois, il pourrait se présenter en retard quelques minutes après. </w:t>
      </w:r>
    </w:p>
    <w:p w:rsidR="006C0329" w:rsidRDefault="006C0329" w:rsidP="006C0329">
      <w:pPr>
        <w:spacing w:line="360" w:lineRule="auto"/>
        <w:rPr>
          <w:rFonts w:ascii="Times New Roman" w:hAnsi="Times New Roman" w:cs="Times New Roman"/>
        </w:rPr>
      </w:pPr>
      <w:r>
        <w:rPr>
          <w:rFonts w:ascii="Times New Roman" w:hAnsi="Times New Roman" w:cs="Times New Roman"/>
        </w:rPr>
        <w:t xml:space="preserve">L’inférence peut être atteinte soit par mode d’induction ou de déduction. L’induction est de partir du particulier pour arriver au général. </w:t>
      </w:r>
    </w:p>
    <w:p w:rsidR="006C0329" w:rsidRDefault="006C0329" w:rsidP="006C0329">
      <w:pPr>
        <w:spacing w:line="360" w:lineRule="auto"/>
        <w:rPr>
          <w:rFonts w:ascii="Times New Roman" w:hAnsi="Times New Roman" w:cs="Times New Roman"/>
        </w:rPr>
      </w:pPr>
      <w:r>
        <w:rPr>
          <w:rFonts w:ascii="Times New Roman" w:hAnsi="Times New Roman" w:cs="Times New Roman"/>
        </w:rPr>
        <w:t xml:space="preserve">« Je joue dehors tous les jours; donc je suis en bonne santé ». </w:t>
      </w:r>
      <w:proofErr w:type="spellStart"/>
      <w:r>
        <w:rPr>
          <w:rFonts w:ascii="Times New Roman" w:hAnsi="Times New Roman" w:cs="Times New Roman"/>
        </w:rPr>
        <w:t>Berthiaume</w:t>
      </w:r>
      <w:proofErr w:type="spellEnd"/>
      <w:r>
        <w:rPr>
          <w:rFonts w:ascii="Times New Roman" w:hAnsi="Times New Roman" w:cs="Times New Roman"/>
        </w:rPr>
        <w:t>, 2004, p.81</w:t>
      </w:r>
    </w:p>
    <w:p w:rsidR="006C0329" w:rsidRDefault="006C0329" w:rsidP="006C0329">
      <w:pPr>
        <w:spacing w:line="360" w:lineRule="auto"/>
      </w:pPr>
      <w:r>
        <w:rPr>
          <w:rFonts w:ascii="Times New Roman" w:hAnsi="Times New Roman" w:cs="Times New Roman"/>
        </w:rPr>
        <w:lastRenderedPageBreak/>
        <w:t>La déduction découle d’une suite logique de propositions, tel que l’exemple cité précédemment de l’élève absent.</w:t>
      </w:r>
    </w:p>
    <w:p w:rsidR="006C0329" w:rsidRDefault="006C0329" w:rsidP="006C0329"/>
    <w:p w:rsidR="00EB12BF" w:rsidRDefault="00EB12BF"/>
    <w:sectPr w:rsidR="00EB12BF" w:rsidSect="00EB12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0329"/>
    <w:rsid w:val="006C0329"/>
    <w:rsid w:val="00EB12BF"/>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329"/>
  </w:style>
  <w:style w:type="paragraph" w:styleId="Titre1">
    <w:name w:val="heading 1"/>
    <w:basedOn w:val="Normal"/>
    <w:next w:val="Normal"/>
    <w:link w:val="Titre1Car"/>
    <w:uiPriority w:val="9"/>
    <w:qFormat/>
    <w:rsid w:val="006C03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C0329"/>
    <w:rPr>
      <w:rFonts w:asciiTheme="majorHAnsi" w:eastAsiaTheme="majorEastAsia" w:hAnsiTheme="majorHAnsi" w:cstheme="majorBidi"/>
      <w:b/>
      <w:bCs/>
      <w:color w:val="365F91" w:themeColor="accent1" w:themeShade="BF"/>
      <w:sz w:val="28"/>
      <w:szCs w:val="28"/>
    </w:rPr>
  </w:style>
  <w:style w:type="table" w:styleId="Grilledutableau">
    <w:name w:val="Table Grid"/>
    <w:basedOn w:val="TableauNormal"/>
    <w:uiPriority w:val="59"/>
    <w:rsid w:val="006C0329"/>
    <w:pPr>
      <w:spacing w:after="0" w:line="240" w:lineRule="auto"/>
    </w:pPr>
    <w:rPr>
      <w:lang w:val="en-C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203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556</Words>
  <Characters>3061</Characters>
  <Application>Microsoft Office Word</Application>
  <DocSecurity>0</DocSecurity>
  <Lines>25</Lines>
  <Paragraphs>7</Paragraphs>
  <ScaleCrop>false</ScaleCrop>
  <Company>cusb</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Arbez</dc:creator>
  <cp:keywords/>
  <dc:description/>
  <cp:lastModifiedBy>Dominique Arbez</cp:lastModifiedBy>
  <cp:revision>2</cp:revision>
  <dcterms:created xsi:type="dcterms:W3CDTF">2010-05-27T18:37:00Z</dcterms:created>
  <dcterms:modified xsi:type="dcterms:W3CDTF">2010-05-27T18:37:00Z</dcterms:modified>
</cp:coreProperties>
</file>